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44F0" w14:textId="55B20AAC" w:rsidR="007403EE" w:rsidRDefault="00963218" w:rsidP="00963218">
      <w:pPr>
        <w:spacing w:after="18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drawing>
          <wp:inline distT="0" distB="0" distL="0" distR="0" wp14:anchorId="7202463C" wp14:editId="6E031518">
            <wp:extent cx="2103683" cy="730895"/>
            <wp:effectExtent l="0" t="0" r="5080" b="5715"/>
            <wp:docPr id="17333563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563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987" cy="758796"/>
                    </a:xfrm>
                    <a:prstGeom prst="rect">
                      <a:avLst/>
                    </a:prstGeom>
                  </pic:spPr>
                </pic:pic>
              </a:graphicData>
            </a:graphic>
          </wp:inline>
        </w:drawing>
      </w:r>
    </w:p>
    <w:p w14:paraId="797EC38E" w14:textId="41C2E699" w:rsidR="00963218" w:rsidRDefault="00963218" w:rsidP="0096321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312 North Ave E., Suite 5</w:t>
      </w:r>
    </w:p>
    <w:p w14:paraId="64B4B656" w14:textId="77148FF3" w:rsidR="00963218" w:rsidRDefault="00963218" w:rsidP="0096321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Cranford, NJ 07016</w:t>
      </w:r>
    </w:p>
    <w:p w14:paraId="6D84D9D4" w14:textId="0F1F4039" w:rsidR="00963218" w:rsidRDefault="00963218" w:rsidP="0096321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908-789-0700</w:t>
      </w:r>
    </w:p>
    <w:p w14:paraId="4AF6A0AD" w14:textId="245F6013" w:rsidR="00963218" w:rsidRDefault="00963218" w:rsidP="0096321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info@nabip-nj.org</w:t>
      </w:r>
    </w:p>
    <w:p w14:paraId="0F43FDF6" w14:textId="77777777" w:rsidR="00963218" w:rsidRPr="007403EE" w:rsidRDefault="00963218" w:rsidP="00963218">
      <w:pPr>
        <w:spacing w:after="180" w:line="240" w:lineRule="auto"/>
        <w:jc w:val="center"/>
        <w:rPr>
          <w:rFonts w:ascii="Times New Roman" w:eastAsia="Times New Roman" w:hAnsi="Times New Roman" w:cs="Times New Roman"/>
          <w:color w:val="212121"/>
          <w:kern w:val="0"/>
          <w14:ligatures w14:val="none"/>
        </w:rPr>
      </w:pPr>
    </w:p>
    <w:p w14:paraId="57BD2B22" w14:textId="5BA829C0" w:rsidR="007403EE" w:rsidRPr="007403EE" w:rsidRDefault="00963218" w:rsidP="007403EE">
      <w:pPr>
        <w:spacing w:after="180" w:line="240" w:lineRule="auto"/>
        <w:jc w:val="both"/>
        <w:rPr>
          <w:rFonts w:ascii="Times New Roman" w:eastAsia="Times New Roman" w:hAnsi="Times New Roman" w:cs="Times New Roman"/>
          <w:color w:val="212121"/>
          <w:kern w:val="0"/>
          <w14:ligatures w14:val="none"/>
        </w:rPr>
      </w:pPr>
      <w:r>
        <w:rPr>
          <w:rFonts w:ascii="Times New Roman" w:eastAsia="Times New Roman" w:hAnsi="Times New Roman" w:cs="Times New Roman"/>
          <w:color w:val="000000"/>
          <w:kern w:val="0"/>
          <w14:ligatures w14:val="none"/>
        </w:rPr>
        <w:t>11/12/25</w:t>
      </w:r>
    </w:p>
    <w:p w14:paraId="0F2C91DE" w14:textId="77777777" w:rsidR="007403EE" w:rsidRPr="007403EE" w:rsidRDefault="007403EE" w:rsidP="007403EE">
      <w:pPr>
        <w:spacing w:after="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The Honorable Justin Zimmerman</w:t>
      </w:r>
    </w:p>
    <w:p w14:paraId="3BE4B54F" w14:textId="77777777" w:rsidR="007403EE" w:rsidRPr="007403EE" w:rsidRDefault="007403EE" w:rsidP="007403EE">
      <w:pPr>
        <w:spacing w:after="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Commissioner</w:t>
      </w:r>
    </w:p>
    <w:p w14:paraId="500C725D" w14:textId="77777777" w:rsidR="007403EE" w:rsidRPr="007403EE" w:rsidRDefault="007403EE" w:rsidP="007403EE">
      <w:pPr>
        <w:spacing w:after="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New Jersey Department of Banking and Insurance</w:t>
      </w:r>
    </w:p>
    <w:p w14:paraId="088C2B63" w14:textId="77777777" w:rsidR="007403EE" w:rsidRPr="007403EE" w:rsidRDefault="007403EE" w:rsidP="007403EE">
      <w:pPr>
        <w:spacing w:after="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20 West State Street</w:t>
      </w:r>
    </w:p>
    <w:p w14:paraId="5024B586" w14:textId="562E6A20" w:rsidR="007403EE" w:rsidRDefault="007403EE" w:rsidP="007403EE">
      <w:pPr>
        <w:spacing w:after="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t>Trenton, NJ 08625</w:t>
      </w:r>
    </w:p>
    <w:p w14:paraId="531D2D92" w14:textId="77777777" w:rsidR="007403EE" w:rsidRPr="007403EE" w:rsidRDefault="007403EE" w:rsidP="007403EE">
      <w:pPr>
        <w:spacing w:after="0" w:line="240" w:lineRule="auto"/>
        <w:jc w:val="both"/>
        <w:rPr>
          <w:rFonts w:ascii="Times New Roman" w:eastAsia="Times New Roman" w:hAnsi="Times New Roman" w:cs="Times New Roman"/>
          <w:color w:val="212121"/>
          <w:kern w:val="0"/>
          <w14:ligatures w14:val="none"/>
        </w:rPr>
      </w:pPr>
    </w:p>
    <w:p w14:paraId="6E7349BB" w14:textId="4DAA2D9C"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Re: Sudden Medicare Commission Changes — Request for Market-Conduct Guidance to Protect New Jersey Seniors</w:t>
      </w:r>
    </w:p>
    <w:p w14:paraId="5AAB81E1" w14:textId="14A4874D"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Commissioner Zimmerman:</w:t>
      </w:r>
    </w:p>
    <w:p w14:paraId="747B7E49" w14:textId="06E74F58"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On behalf of New Jersey’s licensed health insurance producers serving Medicare-eligible residents, we respectfully request targeted market-conduct guidance to ensure that abrupt, mid-cycle changes to broker compensation for Medicare Advantage and Medicare Part D plans do not impair consumer access to professional assistance during critical enrollment periods.</w:t>
      </w:r>
    </w:p>
    <w:p w14:paraId="23D6AF93" w14:textId="72DBA98C"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In recent weeks, certain national carriers have reduced or eliminated broker compensation with little notice—sometimes less than 24 hours—while plans were already being marketed. When compensation is withdrawn without reasonable notice, producers may have to cancel appointments, reduce staff capacity, or defer outreach already scheduled for seniors who rely on brokers for help evaluating benefits, formularies, provider networks, and total out-of-pocket costs.</w:t>
      </w:r>
    </w:p>
    <w:p w14:paraId="2F9DC3D4" w14:textId="7004641B" w:rsidR="007403EE" w:rsidRPr="007403EE" w:rsidRDefault="007403EE" w:rsidP="007403EE">
      <w:pPr>
        <w:spacing w:after="21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b/>
          <w:bCs/>
          <w:color w:val="000000"/>
          <w:kern w:val="0"/>
          <w14:ligatures w14:val="none"/>
        </w:rPr>
        <w:t>What DOBI Can Do Within the Federal Framework</w:t>
      </w:r>
    </w:p>
    <w:p w14:paraId="6FF76365" w14:textId="73815093"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We recognize that CMS governs the design, benefits, and compensation parameters of Medicare Advantage and Part D plans. We are not asking the Department to set commission levels or alter federal rules. However, within New Jersey’s well-established authority over producer and carrier conduct, DOBI can take several meaningful steps to protect consumers and market integrity:</w:t>
      </w:r>
    </w:p>
    <w:p w14:paraId="00AD152D" w14:textId="77777777" w:rsidR="007403EE" w:rsidRPr="007403EE" w:rsidRDefault="007403EE" w:rsidP="007403EE">
      <w:pPr>
        <w:numPr>
          <w:ilvl w:val="0"/>
          <w:numId w:val="1"/>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b/>
          <w:bCs/>
          <w:color w:val="000000"/>
          <w:kern w:val="0"/>
          <w14:ligatures w14:val="none"/>
        </w:rPr>
        <w:t>Set a clear notice expectation.</w:t>
      </w:r>
      <w:r w:rsidRPr="007403EE">
        <w:rPr>
          <w:rFonts w:ascii="Times New Roman" w:eastAsia="Times New Roman" w:hAnsi="Times New Roman" w:cs="Times New Roman"/>
          <w:color w:val="000000"/>
          <w:kern w:val="0"/>
          <w14:ligatures w14:val="none"/>
        </w:rPr>
        <w:t xml:space="preserve"> Establish that reasonable advance notice is expected before carriers implement material compensation changes for Medicare products already filed and actively marketed in New Jersey.</w:t>
      </w:r>
    </w:p>
    <w:p w14:paraId="0B122004" w14:textId="77777777" w:rsidR="007403EE" w:rsidRPr="007403EE" w:rsidRDefault="007403EE" w:rsidP="007403EE">
      <w:pPr>
        <w:numPr>
          <w:ilvl w:val="0"/>
          <w:numId w:val="1"/>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b/>
          <w:bCs/>
          <w:color w:val="000000"/>
          <w:kern w:val="0"/>
          <w14:ligatures w14:val="none"/>
        </w:rPr>
        <w:t>Identify potential market-conduct concerns.</w:t>
      </w:r>
      <w:r w:rsidRPr="007403EE">
        <w:rPr>
          <w:rFonts w:ascii="Times New Roman" w:eastAsia="Times New Roman" w:hAnsi="Times New Roman" w:cs="Times New Roman"/>
          <w:color w:val="000000"/>
          <w:kern w:val="0"/>
          <w14:ligatures w14:val="none"/>
        </w:rPr>
        <w:t xml:space="preserve"> Clarify that abrupt mid-cycle compensation actions that foreseeably reduce consumer access to licensed assistance may raise issues under New Jersey’s unfair-practice standards.</w:t>
      </w:r>
    </w:p>
    <w:p w14:paraId="5162E390" w14:textId="77777777" w:rsidR="007403EE" w:rsidRPr="007403EE" w:rsidRDefault="007403EE" w:rsidP="007403EE">
      <w:pPr>
        <w:numPr>
          <w:ilvl w:val="0"/>
          <w:numId w:val="1"/>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b/>
          <w:bCs/>
          <w:color w:val="000000"/>
          <w:kern w:val="0"/>
          <w14:ligatures w14:val="none"/>
        </w:rPr>
        <w:lastRenderedPageBreak/>
        <w:t>Reinforce disclosure and consumer-protection standards.</w:t>
      </w:r>
      <w:r w:rsidRPr="007403EE">
        <w:rPr>
          <w:rFonts w:ascii="Times New Roman" w:eastAsia="Times New Roman" w:hAnsi="Times New Roman" w:cs="Times New Roman"/>
          <w:color w:val="000000"/>
          <w:kern w:val="0"/>
          <w14:ligatures w14:val="none"/>
        </w:rPr>
        <w:t xml:space="preserve"> Emphasize the importance of full and fair disclosure in the marketing of Medicare products, including clear communication to consumers regarding plan availability, benefits, and costs.</w:t>
      </w:r>
    </w:p>
    <w:p w14:paraId="59C0F3CC" w14:textId="77777777" w:rsidR="007403EE" w:rsidRPr="007403EE" w:rsidRDefault="007403EE" w:rsidP="007403EE">
      <w:pPr>
        <w:numPr>
          <w:ilvl w:val="0"/>
          <w:numId w:val="1"/>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b/>
          <w:bCs/>
          <w:color w:val="000000"/>
          <w:kern w:val="0"/>
          <w14:ligatures w14:val="none"/>
        </w:rPr>
        <w:t>Reference enforcement authority.</w:t>
      </w:r>
      <w:r w:rsidRPr="007403EE">
        <w:rPr>
          <w:rFonts w:ascii="Times New Roman" w:eastAsia="Times New Roman" w:hAnsi="Times New Roman" w:cs="Times New Roman"/>
          <w:color w:val="000000"/>
          <w:kern w:val="0"/>
          <w14:ligatures w14:val="none"/>
        </w:rPr>
        <w:t xml:space="preserve"> Highlight that the Commissioner may address non-compliance or market disruption—including requiring carriers to cease marketing practices that harm consumers or destabilize the marketplace—to ensure fairness and compliance with New Jersey law.</w:t>
      </w:r>
    </w:p>
    <w:p w14:paraId="5A55D198" w14:textId="77777777" w:rsidR="007403EE" w:rsidRPr="007403EE" w:rsidRDefault="007403EE" w:rsidP="007403EE">
      <w:pPr>
        <w:numPr>
          <w:ilvl w:val="0"/>
          <w:numId w:val="1"/>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b/>
          <w:bCs/>
          <w:color w:val="000000"/>
          <w:kern w:val="0"/>
          <w14:ligatures w14:val="none"/>
        </w:rPr>
        <w:t>Ensure fair implementation of any regulatory changes</w:t>
      </w:r>
      <w:r w:rsidRPr="007403EE">
        <w:rPr>
          <w:rFonts w:ascii="Times New Roman" w:eastAsia="Times New Roman" w:hAnsi="Times New Roman" w:cs="Times New Roman"/>
          <w:color w:val="000000"/>
          <w:kern w:val="0"/>
          <w14:ligatures w14:val="none"/>
        </w:rPr>
        <w:t>. Confirm that new requirements will be applied prospectively and evaluated for their impact on existing contractual arrangements to avoid unnecessary disruption.</w:t>
      </w:r>
    </w:p>
    <w:p w14:paraId="2956910E" w14:textId="77777777" w:rsidR="007403EE" w:rsidRPr="007403EE" w:rsidRDefault="007403EE" w:rsidP="007403EE">
      <w:pPr>
        <w:numPr>
          <w:ilvl w:val="0"/>
          <w:numId w:val="1"/>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b/>
          <w:bCs/>
          <w:color w:val="000000"/>
          <w:kern w:val="0"/>
          <w14:ligatures w14:val="none"/>
        </w:rPr>
        <w:t>Encourage coordination with CMS</w:t>
      </w:r>
      <w:r w:rsidRPr="007403EE">
        <w:rPr>
          <w:rFonts w:ascii="Times New Roman" w:eastAsia="Times New Roman" w:hAnsi="Times New Roman" w:cs="Times New Roman"/>
          <w:color w:val="000000"/>
          <w:kern w:val="0"/>
          <w14:ligatures w14:val="none"/>
        </w:rPr>
        <w:t>. Urge carriers to confirm that any mid-cycle changes are implemented in a way that preserves consumer access and aligns with CMS marketing and enrollment protections.</w:t>
      </w:r>
    </w:p>
    <w:p w14:paraId="09086E2C" w14:textId="62859813" w:rsidR="007403EE" w:rsidRPr="007403EE" w:rsidRDefault="007403EE" w:rsidP="007403EE">
      <w:pPr>
        <w:numPr>
          <w:ilvl w:val="0"/>
          <w:numId w:val="1"/>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b/>
          <w:bCs/>
          <w:color w:val="000000"/>
          <w:kern w:val="0"/>
          <w14:ligatures w14:val="none"/>
        </w:rPr>
        <w:t>Monitor and convene stakeholders</w:t>
      </w:r>
      <w:r w:rsidRPr="007403EE">
        <w:rPr>
          <w:rFonts w:ascii="Times New Roman" w:eastAsia="Times New Roman" w:hAnsi="Times New Roman" w:cs="Times New Roman"/>
          <w:color w:val="000000"/>
          <w:kern w:val="0"/>
          <w14:ligatures w14:val="none"/>
        </w:rPr>
        <w:t>. Use supervisory tools to gather data, meet with carriers and producer organizations, and evaluate whether New Jersey seniors—particularly those with limited digital literacy or language access—are being adversely affected.</w:t>
      </w:r>
    </w:p>
    <w:p w14:paraId="57589D5F" w14:textId="3A27F2E9" w:rsidR="007403EE" w:rsidRPr="007403EE" w:rsidRDefault="007403EE" w:rsidP="007403EE">
      <w:pPr>
        <w:spacing w:after="21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b/>
          <w:bCs/>
          <w:color w:val="000000"/>
          <w:kern w:val="0"/>
          <w14:ligatures w14:val="none"/>
        </w:rPr>
        <w:t>Why This Matters</w:t>
      </w:r>
    </w:p>
    <w:p w14:paraId="691FC928" w14:textId="72716769"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 xml:space="preserve">Independent brokers remain a critical source of education and enrollment support for New Jersey seniors. Abrupt, no-notice compensation changes—especially during Annual or Open Enrollment Periods—predictably disrupt scheduled consultations and reduce access to trusted assistance </w:t>
      </w:r>
      <w:proofErr w:type="gramStart"/>
      <w:r w:rsidRPr="007403EE">
        <w:rPr>
          <w:rFonts w:ascii="Times New Roman" w:eastAsia="Times New Roman" w:hAnsi="Times New Roman" w:cs="Times New Roman"/>
          <w:color w:val="000000"/>
          <w:kern w:val="0"/>
          <w14:ligatures w14:val="none"/>
        </w:rPr>
        <w:t>at the moment</w:t>
      </w:r>
      <w:proofErr w:type="gramEnd"/>
      <w:r w:rsidRPr="007403EE">
        <w:rPr>
          <w:rFonts w:ascii="Times New Roman" w:eastAsia="Times New Roman" w:hAnsi="Times New Roman" w:cs="Times New Roman"/>
          <w:color w:val="000000"/>
          <w:kern w:val="0"/>
          <w14:ligatures w14:val="none"/>
        </w:rPr>
        <w:t xml:space="preserve"> when seniors need it most. Establishing reasonable notice expectations is a narrow, practical step that promotes market stability without interfering in federal compensation structures.</w:t>
      </w:r>
    </w:p>
    <w:p w14:paraId="52D47BF3" w14:textId="0399190A" w:rsidR="007403EE" w:rsidRPr="007403EE" w:rsidRDefault="007403EE" w:rsidP="007403EE">
      <w:pPr>
        <w:spacing w:after="21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b/>
          <w:bCs/>
          <w:color w:val="000000"/>
          <w:kern w:val="0"/>
          <w14:ligatures w14:val="none"/>
        </w:rPr>
        <w:t>Other States Are Acting</w:t>
      </w:r>
    </w:p>
    <w:p w14:paraId="1BAD4B62" w14:textId="20E94FDB"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Insurance departments in Idaho</w:t>
      </w:r>
      <w:r w:rsidR="000454DF">
        <w:rPr>
          <w:rStyle w:val="FootnoteReference"/>
          <w:rFonts w:ascii="Times New Roman" w:eastAsia="Times New Roman" w:hAnsi="Times New Roman" w:cs="Times New Roman"/>
          <w:color w:val="000000"/>
          <w:kern w:val="0"/>
          <w14:ligatures w14:val="none"/>
        </w:rPr>
        <w:footnoteReference w:id="1"/>
      </w:r>
      <w:r w:rsidRPr="007403EE">
        <w:rPr>
          <w:rFonts w:ascii="Times New Roman" w:eastAsia="Times New Roman" w:hAnsi="Times New Roman" w:cs="Times New Roman"/>
          <w:color w:val="000000"/>
          <w:kern w:val="0"/>
          <w14:ligatures w14:val="none"/>
        </w:rPr>
        <w:t>, Oklahoma</w:t>
      </w:r>
      <w:r w:rsidR="00947B94">
        <w:rPr>
          <w:rStyle w:val="FootnoteReference"/>
          <w:rFonts w:ascii="Times New Roman" w:eastAsia="Times New Roman" w:hAnsi="Times New Roman" w:cs="Times New Roman"/>
          <w:color w:val="000000"/>
          <w:kern w:val="0"/>
          <w14:ligatures w14:val="none"/>
        </w:rPr>
        <w:footnoteReference w:id="2"/>
      </w:r>
      <w:r w:rsidRPr="007403EE">
        <w:rPr>
          <w:rFonts w:ascii="Times New Roman" w:eastAsia="Times New Roman" w:hAnsi="Times New Roman" w:cs="Times New Roman"/>
          <w:color w:val="000000"/>
          <w:kern w:val="0"/>
          <w14:ligatures w14:val="none"/>
        </w:rPr>
        <w:t>, North Dakota</w:t>
      </w:r>
      <w:r w:rsidR="00386E0C">
        <w:rPr>
          <w:rStyle w:val="FootnoteReference"/>
          <w:rFonts w:ascii="Times New Roman" w:eastAsia="Times New Roman" w:hAnsi="Times New Roman" w:cs="Times New Roman"/>
          <w:color w:val="000000"/>
          <w:kern w:val="0"/>
          <w14:ligatures w14:val="none"/>
        </w:rPr>
        <w:footnoteReference w:id="3"/>
      </w:r>
      <w:r w:rsidRPr="007403EE">
        <w:rPr>
          <w:rFonts w:ascii="Times New Roman" w:eastAsia="Times New Roman" w:hAnsi="Times New Roman" w:cs="Times New Roman"/>
          <w:color w:val="000000"/>
          <w:kern w:val="0"/>
          <w14:ligatures w14:val="none"/>
        </w:rPr>
        <w:t>, and New Hampshire</w:t>
      </w:r>
      <w:r w:rsidR="0005447E">
        <w:rPr>
          <w:rStyle w:val="FootnoteReference"/>
          <w:rFonts w:ascii="Times New Roman" w:eastAsia="Times New Roman" w:hAnsi="Times New Roman" w:cs="Times New Roman"/>
          <w:color w:val="000000"/>
          <w:kern w:val="0"/>
          <w14:ligatures w14:val="none"/>
        </w:rPr>
        <w:footnoteReference w:id="4"/>
      </w:r>
      <w:r w:rsidRPr="007403EE">
        <w:rPr>
          <w:rFonts w:ascii="Times New Roman" w:eastAsia="Times New Roman" w:hAnsi="Times New Roman" w:cs="Times New Roman"/>
          <w:color w:val="000000"/>
          <w:kern w:val="0"/>
          <w14:ligatures w14:val="none"/>
        </w:rPr>
        <w:t xml:space="preserve"> have recently issued bulletins addressing Medicare marketing or producer-compensation practices that restrict consumer access or distort competition. These examples demonstrate that state-level guidance can complement CMS oversight while staying well within state jurisdiction over market conduct.</w:t>
      </w:r>
    </w:p>
    <w:p w14:paraId="69E896E3" w14:textId="5BF272D1" w:rsidR="007403EE" w:rsidRPr="007403EE" w:rsidRDefault="007403EE" w:rsidP="007403EE">
      <w:pPr>
        <w:spacing w:after="21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b/>
          <w:bCs/>
          <w:color w:val="000000"/>
          <w:kern w:val="0"/>
          <w14:ligatures w14:val="none"/>
        </w:rPr>
        <w:t>Requested Action</w:t>
      </w:r>
    </w:p>
    <w:p w14:paraId="3E318BAA" w14:textId="7F2BA9FE"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We respectfully request that DOBI issue a concise market-conduct bulletin that:</w:t>
      </w:r>
    </w:p>
    <w:p w14:paraId="0DC7CE08" w14:textId="77777777" w:rsidR="007403EE" w:rsidRPr="007403EE" w:rsidRDefault="007403EE" w:rsidP="007403EE">
      <w:pPr>
        <w:numPr>
          <w:ilvl w:val="0"/>
          <w:numId w:val="2"/>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t xml:space="preserve">Establishes a reasonable advance-notice expectation for any mid-cycle compensation changes on actively marketed Medicare </w:t>
      </w:r>
      <w:proofErr w:type="gramStart"/>
      <w:r w:rsidRPr="007403EE">
        <w:rPr>
          <w:rFonts w:ascii="Times New Roman" w:eastAsia="Times New Roman" w:hAnsi="Times New Roman" w:cs="Times New Roman"/>
          <w:color w:val="000000"/>
          <w:kern w:val="0"/>
          <w14:ligatures w14:val="none"/>
        </w:rPr>
        <w:t>products;</w:t>
      </w:r>
      <w:proofErr w:type="gramEnd"/>
    </w:p>
    <w:p w14:paraId="4537B125" w14:textId="77777777" w:rsidR="007403EE" w:rsidRPr="007403EE" w:rsidRDefault="007403EE" w:rsidP="007403EE">
      <w:pPr>
        <w:numPr>
          <w:ilvl w:val="0"/>
          <w:numId w:val="2"/>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lastRenderedPageBreak/>
        <w:t xml:space="preserve">States that abrupt changes reducing access to licensed assistance may raise concerns under New Jersey’s </w:t>
      </w:r>
      <w:proofErr w:type="gramStart"/>
      <w:r w:rsidRPr="007403EE">
        <w:rPr>
          <w:rFonts w:ascii="Times New Roman" w:eastAsia="Times New Roman" w:hAnsi="Times New Roman" w:cs="Times New Roman"/>
          <w:color w:val="000000"/>
          <w:kern w:val="0"/>
          <w14:ligatures w14:val="none"/>
        </w:rPr>
        <w:t>unfair-practice</w:t>
      </w:r>
      <w:proofErr w:type="gramEnd"/>
      <w:r w:rsidRPr="007403EE">
        <w:rPr>
          <w:rFonts w:ascii="Times New Roman" w:eastAsia="Times New Roman" w:hAnsi="Times New Roman" w:cs="Times New Roman"/>
          <w:color w:val="000000"/>
          <w:kern w:val="0"/>
          <w14:ligatures w14:val="none"/>
        </w:rPr>
        <w:t xml:space="preserve"> </w:t>
      </w:r>
      <w:proofErr w:type="gramStart"/>
      <w:r w:rsidRPr="007403EE">
        <w:rPr>
          <w:rFonts w:ascii="Times New Roman" w:eastAsia="Times New Roman" w:hAnsi="Times New Roman" w:cs="Times New Roman"/>
          <w:color w:val="000000"/>
          <w:kern w:val="0"/>
          <w14:ligatures w14:val="none"/>
        </w:rPr>
        <w:t>standards;</w:t>
      </w:r>
      <w:proofErr w:type="gramEnd"/>
    </w:p>
    <w:p w14:paraId="0493A0AD" w14:textId="77777777" w:rsidR="007403EE" w:rsidRPr="007403EE" w:rsidRDefault="007403EE" w:rsidP="007403EE">
      <w:pPr>
        <w:numPr>
          <w:ilvl w:val="0"/>
          <w:numId w:val="2"/>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t xml:space="preserve">Emphasizes the importance of clear consumer </w:t>
      </w:r>
      <w:proofErr w:type="gramStart"/>
      <w:r w:rsidRPr="007403EE">
        <w:rPr>
          <w:rFonts w:ascii="Times New Roman" w:eastAsia="Times New Roman" w:hAnsi="Times New Roman" w:cs="Times New Roman"/>
          <w:color w:val="000000"/>
          <w:kern w:val="0"/>
          <w14:ligatures w14:val="none"/>
        </w:rPr>
        <w:t>disclosure;</w:t>
      </w:r>
      <w:proofErr w:type="gramEnd"/>
    </w:p>
    <w:p w14:paraId="2E87C439" w14:textId="77777777" w:rsidR="007403EE" w:rsidRPr="007403EE" w:rsidRDefault="007403EE" w:rsidP="007403EE">
      <w:pPr>
        <w:numPr>
          <w:ilvl w:val="0"/>
          <w:numId w:val="2"/>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t xml:space="preserve">Reaffirms the Commissioner’s enforcement authority to act against market-disruptive </w:t>
      </w:r>
      <w:proofErr w:type="gramStart"/>
      <w:r w:rsidRPr="007403EE">
        <w:rPr>
          <w:rFonts w:ascii="Times New Roman" w:eastAsia="Times New Roman" w:hAnsi="Times New Roman" w:cs="Times New Roman"/>
          <w:color w:val="000000"/>
          <w:kern w:val="0"/>
          <w14:ligatures w14:val="none"/>
        </w:rPr>
        <w:t>conduct;</w:t>
      </w:r>
      <w:proofErr w:type="gramEnd"/>
    </w:p>
    <w:p w14:paraId="297F7B1A" w14:textId="77777777" w:rsidR="007403EE" w:rsidRPr="007403EE" w:rsidRDefault="007403EE" w:rsidP="007403EE">
      <w:pPr>
        <w:numPr>
          <w:ilvl w:val="0"/>
          <w:numId w:val="2"/>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t xml:space="preserve">Ensures any regulatory changes are applied prospectively and </w:t>
      </w:r>
      <w:proofErr w:type="gramStart"/>
      <w:r w:rsidRPr="007403EE">
        <w:rPr>
          <w:rFonts w:ascii="Times New Roman" w:eastAsia="Times New Roman" w:hAnsi="Times New Roman" w:cs="Times New Roman"/>
          <w:color w:val="000000"/>
          <w:kern w:val="0"/>
          <w14:ligatures w14:val="none"/>
        </w:rPr>
        <w:t>fairly;</w:t>
      </w:r>
      <w:proofErr w:type="gramEnd"/>
    </w:p>
    <w:p w14:paraId="1AA2575C" w14:textId="77777777" w:rsidR="007403EE" w:rsidRPr="007403EE" w:rsidRDefault="007403EE" w:rsidP="007403EE">
      <w:pPr>
        <w:numPr>
          <w:ilvl w:val="0"/>
          <w:numId w:val="2"/>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t>Encourages carrier–CMS coordination to protect consumer access; and</w:t>
      </w:r>
    </w:p>
    <w:p w14:paraId="22758CFB" w14:textId="143BBE2A" w:rsidR="007403EE" w:rsidRPr="007403EE" w:rsidRDefault="007403EE" w:rsidP="007403EE">
      <w:pPr>
        <w:numPr>
          <w:ilvl w:val="0"/>
          <w:numId w:val="2"/>
        </w:numPr>
        <w:spacing w:after="180" w:line="240" w:lineRule="auto"/>
        <w:jc w:val="both"/>
        <w:rPr>
          <w:rFonts w:ascii="Times New Roman" w:eastAsia="Times New Roman" w:hAnsi="Times New Roman" w:cs="Times New Roman"/>
          <w:color w:val="000000"/>
          <w:kern w:val="0"/>
          <w14:ligatures w14:val="none"/>
        </w:rPr>
      </w:pPr>
      <w:r w:rsidRPr="007403EE">
        <w:rPr>
          <w:rFonts w:ascii="Times New Roman" w:eastAsia="Times New Roman" w:hAnsi="Times New Roman" w:cs="Times New Roman"/>
          <w:color w:val="000000"/>
          <w:kern w:val="0"/>
          <w14:ligatures w14:val="none"/>
        </w:rPr>
        <w:t>Commits DOBI to ongoing monitoring and stakeholder engagement on this issue.</w:t>
      </w:r>
    </w:p>
    <w:p w14:paraId="431BB137" w14:textId="52FB0B67"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This approach remains firmly within New Jersey’s jurisdiction, protects seniors’ access to trusted assistance, and supports an orderly, transparent Medicare marketplace—without intruding on CMS’s authority over federal compensation parameters.</w:t>
      </w:r>
    </w:p>
    <w:p w14:paraId="186A6E1D" w14:textId="77777777" w:rsidR="007403EE" w:rsidRPr="007403EE" w:rsidRDefault="007403EE" w:rsidP="007403EE">
      <w:pPr>
        <w:spacing w:after="180" w:line="240" w:lineRule="auto"/>
        <w:jc w:val="both"/>
        <w:rPr>
          <w:rFonts w:ascii="Times New Roman" w:eastAsia="Times New Roman" w:hAnsi="Times New Roman" w:cs="Times New Roman"/>
          <w:color w:val="212121"/>
          <w:kern w:val="0"/>
          <w14:ligatures w14:val="none"/>
        </w:rPr>
      </w:pPr>
      <w:r w:rsidRPr="007403EE">
        <w:rPr>
          <w:rFonts w:ascii="Times New Roman" w:eastAsia="Times New Roman" w:hAnsi="Times New Roman" w:cs="Times New Roman"/>
          <w:color w:val="000000"/>
          <w:kern w:val="0"/>
          <w14:ligatures w14:val="none"/>
        </w:rPr>
        <w:t>Respectfully,</w:t>
      </w:r>
    </w:p>
    <w:p w14:paraId="460F0DED" w14:textId="22826D93" w:rsidR="007403EE" w:rsidRDefault="005C18A0" w:rsidP="00963218">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James Lardiere</w:t>
      </w:r>
    </w:p>
    <w:p w14:paraId="55512483" w14:textId="21B1F271" w:rsidR="005C18A0" w:rsidRDefault="005C18A0" w:rsidP="00963218">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President</w:t>
      </w:r>
    </w:p>
    <w:p w14:paraId="79121CD7" w14:textId="4225576B" w:rsidR="007403EE" w:rsidRPr="007403EE" w:rsidRDefault="005C18A0" w:rsidP="0096321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NJ-NABIP</w:t>
      </w:r>
    </w:p>
    <w:p w14:paraId="40234741" w14:textId="77777777" w:rsidR="00755CD6" w:rsidRPr="007403EE" w:rsidRDefault="00755CD6" w:rsidP="007403EE">
      <w:pPr>
        <w:jc w:val="both"/>
        <w:rPr>
          <w:rFonts w:ascii="Times New Roman" w:hAnsi="Times New Roman" w:cs="Times New Roman"/>
        </w:rPr>
      </w:pPr>
    </w:p>
    <w:sectPr w:rsidR="00755CD6" w:rsidRPr="007403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5898" w14:textId="77777777" w:rsidR="00ED3BCE" w:rsidRDefault="00ED3BCE" w:rsidP="0005447E">
      <w:pPr>
        <w:spacing w:after="0" w:line="240" w:lineRule="auto"/>
      </w:pPr>
      <w:r>
        <w:separator/>
      </w:r>
    </w:p>
  </w:endnote>
  <w:endnote w:type="continuationSeparator" w:id="0">
    <w:p w14:paraId="42804BD4" w14:textId="77777777" w:rsidR="00ED3BCE" w:rsidRDefault="00ED3BCE" w:rsidP="0005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0EB3" w14:textId="77777777" w:rsidR="00ED3BCE" w:rsidRDefault="00ED3BCE" w:rsidP="0005447E">
      <w:pPr>
        <w:spacing w:after="0" w:line="240" w:lineRule="auto"/>
      </w:pPr>
      <w:r>
        <w:separator/>
      </w:r>
    </w:p>
  </w:footnote>
  <w:footnote w:type="continuationSeparator" w:id="0">
    <w:p w14:paraId="4E26B89D" w14:textId="77777777" w:rsidR="00ED3BCE" w:rsidRDefault="00ED3BCE" w:rsidP="0005447E">
      <w:pPr>
        <w:spacing w:after="0" w:line="240" w:lineRule="auto"/>
      </w:pPr>
      <w:r>
        <w:continuationSeparator/>
      </w:r>
    </w:p>
  </w:footnote>
  <w:footnote w:id="1">
    <w:p w14:paraId="196A59B6" w14:textId="3B846437" w:rsidR="000454DF" w:rsidRDefault="000454DF">
      <w:pPr>
        <w:pStyle w:val="FootnoteText"/>
      </w:pPr>
      <w:r>
        <w:rPr>
          <w:rStyle w:val="FootnoteReference"/>
        </w:rPr>
        <w:footnoteRef/>
      </w:r>
      <w:r>
        <w:t xml:space="preserve"> </w:t>
      </w:r>
      <w:r w:rsidRPr="000454DF">
        <w:t>https://www.idahoinsuranceagency.com/wp-content/uploads/2025/10/B25-06.pdf</w:t>
      </w:r>
    </w:p>
  </w:footnote>
  <w:footnote w:id="2">
    <w:p w14:paraId="516C262B" w14:textId="0DF2769B" w:rsidR="00947B94" w:rsidRDefault="00947B94">
      <w:pPr>
        <w:pStyle w:val="FootnoteText"/>
      </w:pPr>
      <w:r>
        <w:rPr>
          <w:rStyle w:val="FootnoteReference"/>
        </w:rPr>
        <w:footnoteRef/>
      </w:r>
      <w:r>
        <w:t xml:space="preserve"> </w:t>
      </w:r>
      <w:r w:rsidRPr="00947B94">
        <w:t>https://www.oid.ok.gov/bulletin-no-2025-12/</w:t>
      </w:r>
    </w:p>
  </w:footnote>
  <w:footnote w:id="3">
    <w:p w14:paraId="31A94021" w14:textId="066DAB3D" w:rsidR="00386E0C" w:rsidRDefault="00386E0C">
      <w:pPr>
        <w:pStyle w:val="FootnoteText"/>
      </w:pPr>
      <w:r>
        <w:rPr>
          <w:rStyle w:val="FootnoteReference"/>
        </w:rPr>
        <w:footnoteRef/>
      </w:r>
      <w:r>
        <w:t xml:space="preserve"> </w:t>
      </w:r>
      <w:r w:rsidRPr="00386E0C">
        <w:t>https://www.insurance.nd.gov/news/north-dakota-seniors-could-feel-impact-unfair-medicare-sales-practices-department-warns</w:t>
      </w:r>
    </w:p>
  </w:footnote>
  <w:footnote w:id="4">
    <w:p w14:paraId="4E4BD0E3" w14:textId="422A0AFF" w:rsidR="0005447E" w:rsidRDefault="0005447E">
      <w:pPr>
        <w:pStyle w:val="FootnoteText"/>
      </w:pPr>
      <w:r>
        <w:rPr>
          <w:rStyle w:val="FootnoteReference"/>
        </w:rPr>
        <w:footnoteRef/>
      </w:r>
      <w:r>
        <w:t xml:space="preserve"> </w:t>
      </w:r>
      <w:r w:rsidRPr="0005447E">
        <w:t>https://www.insurance.nh.gov/news-and-media/new-hampshire-insurance-department-issues-bulletin-fair-marketing-and-compensation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0053"/>
    <w:multiLevelType w:val="multilevel"/>
    <w:tmpl w:val="39CA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57710"/>
    <w:multiLevelType w:val="multilevel"/>
    <w:tmpl w:val="FA0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372192">
    <w:abstractNumId w:val="0"/>
  </w:num>
  <w:num w:numId="2" w16cid:durableId="55681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EE"/>
    <w:rsid w:val="000454DF"/>
    <w:rsid w:val="0005447E"/>
    <w:rsid w:val="001706EA"/>
    <w:rsid w:val="002D4CD4"/>
    <w:rsid w:val="00386E0C"/>
    <w:rsid w:val="005C18A0"/>
    <w:rsid w:val="00616C89"/>
    <w:rsid w:val="00710FB5"/>
    <w:rsid w:val="007403EE"/>
    <w:rsid w:val="00755CD6"/>
    <w:rsid w:val="00947B94"/>
    <w:rsid w:val="00963218"/>
    <w:rsid w:val="00975F94"/>
    <w:rsid w:val="009F6A0F"/>
    <w:rsid w:val="00B4549C"/>
    <w:rsid w:val="00C52949"/>
    <w:rsid w:val="00CD5C22"/>
    <w:rsid w:val="00D240E7"/>
    <w:rsid w:val="00E90CD3"/>
    <w:rsid w:val="00ED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10092F"/>
  <w15:chartTrackingRefBased/>
  <w15:docId w15:val="{4F8BCE7E-7719-404B-99C5-B98E33DE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B5"/>
  </w:style>
  <w:style w:type="paragraph" w:styleId="Heading1">
    <w:name w:val="heading 1"/>
    <w:basedOn w:val="Normal"/>
    <w:next w:val="Normal"/>
    <w:link w:val="Heading1Char"/>
    <w:uiPriority w:val="9"/>
    <w:qFormat/>
    <w:rsid w:val="00710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FB5"/>
    <w:rPr>
      <w:rFonts w:eastAsiaTheme="majorEastAsia" w:cstheme="majorBidi"/>
      <w:color w:val="272727" w:themeColor="text1" w:themeTint="D8"/>
    </w:rPr>
  </w:style>
  <w:style w:type="paragraph" w:styleId="Title">
    <w:name w:val="Title"/>
    <w:basedOn w:val="Normal"/>
    <w:next w:val="Normal"/>
    <w:link w:val="TitleChar"/>
    <w:uiPriority w:val="10"/>
    <w:qFormat/>
    <w:rsid w:val="00710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F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10FB5"/>
    <w:pPr>
      <w:ind w:left="720"/>
      <w:contextualSpacing/>
    </w:pPr>
  </w:style>
  <w:style w:type="paragraph" w:styleId="Quote">
    <w:name w:val="Quote"/>
    <w:basedOn w:val="Normal"/>
    <w:next w:val="Normal"/>
    <w:link w:val="QuoteChar"/>
    <w:uiPriority w:val="29"/>
    <w:qFormat/>
    <w:rsid w:val="00710FB5"/>
    <w:pPr>
      <w:spacing w:before="160"/>
      <w:jc w:val="center"/>
    </w:pPr>
    <w:rPr>
      <w:i/>
      <w:iCs/>
      <w:color w:val="404040" w:themeColor="text1" w:themeTint="BF"/>
    </w:rPr>
  </w:style>
  <w:style w:type="character" w:customStyle="1" w:styleId="QuoteChar">
    <w:name w:val="Quote Char"/>
    <w:basedOn w:val="DefaultParagraphFont"/>
    <w:link w:val="Quote"/>
    <w:uiPriority w:val="29"/>
    <w:rsid w:val="00710FB5"/>
    <w:rPr>
      <w:i/>
      <w:iCs/>
      <w:color w:val="404040" w:themeColor="text1" w:themeTint="BF"/>
    </w:rPr>
  </w:style>
  <w:style w:type="paragraph" w:styleId="IntenseQuote">
    <w:name w:val="Intense Quote"/>
    <w:basedOn w:val="Normal"/>
    <w:next w:val="Normal"/>
    <w:link w:val="IntenseQuoteChar"/>
    <w:uiPriority w:val="30"/>
    <w:qFormat/>
    <w:rsid w:val="00710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FB5"/>
    <w:rPr>
      <w:i/>
      <w:iCs/>
      <w:color w:val="0F4761" w:themeColor="accent1" w:themeShade="BF"/>
    </w:rPr>
  </w:style>
  <w:style w:type="character" w:styleId="IntenseEmphasis">
    <w:name w:val="Intense Emphasis"/>
    <w:basedOn w:val="DefaultParagraphFont"/>
    <w:uiPriority w:val="21"/>
    <w:qFormat/>
    <w:rsid w:val="00710FB5"/>
    <w:rPr>
      <w:i/>
      <w:iCs/>
      <w:color w:val="0F4761" w:themeColor="accent1" w:themeShade="BF"/>
    </w:rPr>
  </w:style>
  <w:style w:type="character" w:styleId="IntenseReference">
    <w:name w:val="Intense Reference"/>
    <w:basedOn w:val="DefaultParagraphFont"/>
    <w:uiPriority w:val="32"/>
    <w:qFormat/>
    <w:rsid w:val="00710FB5"/>
    <w:rPr>
      <w:b/>
      <w:bCs/>
      <w:smallCaps/>
      <w:color w:val="0F4761" w:themeColor="accent1" w:themeShade="BF"/>
      <w:spacing w:val="5"/>
    </w:rPr>
  </w:style>
  <w:style w:type="paragraph" w:styleId="NormalWeb">
    <w:name w:val="Normal (Web)"/>
    <w:basedOn w:val="Normal"/>
    <w:uiPriority w:val="99"/>
    <w:semiHidden/>
    <w:unhideWhenUsed/>
    <w:rsid w:val="007403E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0544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47E"/>
    <w:rPr>
      <w:sz w:val="20"/>
      <w:szCs w:val="20"/>
    </w:rPr>
  </w:style>
  <w:style w:type="character" w:styleId="FootnoteReference">
    <w:name w:val="footnote reference"/>
    <w:basedOn w:val="DefaultParagraphFont"/>
    <w:uiPriority w:val="99"/>
    <w:semiHidden/>
    <w:unhideWhenUsed/>
    <w:rsid w:val="00054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791C-8F3D-B043-9976-6F33F1A0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Vanderwolk</dc:creator>
  <cp:keywords/>
  <dc:description/>
  <cp:lastModifiedBy>Lisa Strug</cp:lastModifiedBy>
  <cp:revision>2</cp:revision>
  <dcterms:created xsi:type="dcterms:W3CDTF">2025-11-17T15:28:00Z</dcterms:created>
  <dcterms:modified xsi:type="dcterms:W3CDTF">2025-11-17T15:28:00Z</dcterms:modified>
</cp:coreProperties>
</file>